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395 vom 9. Januar 1980</w:t>
      </w:r>
    </w:p>
    <w:p>
      <w:r>
        <w:t>Bundesgericht (BGE), 1980-01-09, DE</w:t>
      </w:r>
    </w:p>
    <w:p>
      <w:r>
        <w:rPr>
          <w:b/>
        </w:rPr>
        <w:t xml:space="preserve">Quelle: </w:t>
      </w:r>
      <w:r>
        <w:t>https://mcp.opencaselaw.ch/entscheid/bge_106 IB 395</w:t>
      </w:r>
    </w:p>
    <w:p>
      <w:r>
        <w:t>FR: BGE 106 IB 395 du 9 janvier 1980</w:t>
      </w:r>
    </w:p>
    <w:p>
      <w:r>
        <w:t>IT: BGE 106 IB 395 del 9 gennaio 1980</w:t>
      </w:r>
    </w:p>
    <w:p>
      <w:pPr>
        <w:pStyle w:val="Heading2"/>
      </w:pPr>
      <w:r>
        <w:t>Regeste</w:t>
      </w:r>
    </w:p>
    <w:p>
      <w:r>
        <w:t>Regeste Entzug des Führerausweises wegen deliktischen Missbrauchs des Motorfahrzeuges (Art. 16 Abs. 3 lit. f SVG). 1. Notwendiger Zusammenhang zwischen der Verwendung des Motorfahrzeuges und der Begehung des Deliktes (hier bejaht für den Schmuggel von Drogen) (E. 1). 2. Umstände, unter denen die Verwaltungsbehörde den Ausgang des parallelen Strafverfahrens abwarten muss, bevor sie über einen Führerausweisentzug nach Art 16 Abs. 3 lit. f SVG entscheidet (E. 2).</w:t>
      </w:r>
    </w:p>
    <w:p>
      <w:pPr>
        <w:pStyle w:val="Heading2"/>
      </w:pPr>
      <w:r>
        <w:t>Erwägungen</w:t>
      </w:r>
    </w:p>
    <w:p>
      <w:r>
        <w:rPr>
          <w:b/>
        </w:rPr>
        <w:t>E. 1</w:t>
      </w:r>
    </w:p>
    <w:p>
      <w:r>
        <w:t>Gemäss Art. 16 Abs. 3 lit. f SVG muss der Führerausweis entzogen werden, wenn der Führer ein Motorfahrzeug zur Begehung eines Verbrechens oder mehrmals zu vorsätzlichen Vergehen verwendet hat. Aufgrund des Urteils des Bezirksgerichts steht fest, dass der Beschwerdeführer seinen Personenwagen mehrmals zum Einkauf, Schmuggel und Verkauf von Drogen benützte. Der Beschwerdeführer hatte bereits im Verfahren vor dem Bezirksgericht Zürich nicht bestritten, dass sein Verhalten gemäss Art. 19 Ziff. 1 und 2 (schwerer Fall) sowie gemäss Ziff. 19a des Bundesgesetzes über die Betäubungsmittel strafbar ist. Art. 16 Abs. 3 lit. f SVG stellt für den Begriff des Verbrechens auf die Terminologie des StGB ab ( BGE 105 Ib 207 E. 1). In Art. 9 Abs. 1 StGB wird das Verbrechen als eine Handlung definiert, welche mit Zuchthaus bedroht ist. Nach diesem Begriff kommt es nicht darauf an, ob im Einzelfall auf Zuchthaus erkannt wird oder nicht. Im vorliegenden Fall hat der Beschwerdeführer im Sinne eines schweren Falles gegen das Betäubungsmittelgesetz verstossen. Diese strafbare Handlung ist mit Zuchthaus oder Gefängnis nicht unter einem Jahr bedroht und stellt ein Verbrechen dar. Somit liegt eine strafbare Handlung vor, die grundsätzlich zu einem Entzug des Führerausweises nach Art. 16 Abs. 3 lit. f SVG Anlass geben kann. Der Beschwerdeführer macht jedoch geltend, zwischen der Verwendung eines Motorfahrzeuges und dem Schmuggel von Drogen bestehe kein genügend enger Zusammenhang. Für diesen Schmuggel könne nämlich ebenso gut und sogar mit weniger Risiken die Eisenbahn benützt werden. Das Motorfahrzeug sei daher im vorliegenden Fall kein wesentliches Hilfsmittel für die Begehung des Deliktes gewesen. Es trifft zwar zu, dass ein deliktischer Missbrauch des Motorfahrzeuges im Sinne von Art. 16 Abs. 3 lit. f SVG nicht schon dann vorliegt, wenn der betreffende Lenker beim Anlass einer Fahrt eine strafbare Handlung begeht. Die genannte Bestimmung ist aber anwendbar, wenn das Motorfahrzeug speziell dazu verwendet worden ist, um die Begehung von Straftaten zu erleichtern. Zudem muss das Motorfahrzeug ein wesentliches Hilfsmittel zur Begehung eines Deliktes dargestellt haben, d.h. die Straftat muss verübt worden sein unter Ausnützung der besonderen Möglichkeiten des Motorfahrzeuges (vgl. dazu das Kreisschreiben der Eidg. Polizeiabteilung, BGE 106 Ib 395 S. 398 heute: Bundesamt für Polizeiwesen, an die zuständigen kantonalen Behörden und Beschwerdeinstanzen vom 21. Juli 1975, in VPB 39/1975 Nr. 126 S. 65). Im vorliegenden Fall hat der Beschwerdeführer sein Motorfahrzeug als Transportmittel und Versteck für die eingekauften Drogen verwendet. Das Motorfahrzeug diente somit als wesentliches Hilfsmittel zur Begehung des Deliktes. Unter diesen Umständen besteht ein genügend enger Zusammenhang zwischen der Verwendung des Motorfahrzeuges und der Begehung des Deliktes. Dass dieses Delikt auch mit anderen Transportmitteln hätte begangen werden können, ändert daran nichts.</w:t>
      </w:r>
    </w:p>
    <w:p>
      <w:r>
        <w:rPr>
          <w:b/>
        </w:rPr>
        <w:t>E. 2</w:t>
      </w:r>
    </w:p>
    <w:p>
      <w:r>
        <w:t>Der Beschwerdeführer beantragt, es sei das vorliegende Verfahren auszusetzen, bis das Ergebnis des im parallelen Strafprozess beantragten psychiatrischen Gutachtens vorliege. Es bestehe begründete Aussicht, dass seine Schuld aufgrund dieses Gutachtens erheblich kleiner beurteilt werde. Voraussetzung für einen Führerausweisentzug nach Art. 16 Abs. 3 lit. f SVG ist die Begehung eines Verbrechens, bzw. die mehrmalige Begehung eines vorsätzlichen Vergehens. Wenn die Entzugsbehörde gestützt auf diese Bestimmung einen Führerausweisentzug ausspricht, hat sie daher nachzuweisen, dass der betreffende Fahrzeuglenker ein Verbrechen oder mehrmals vorsätzlich Vergehen begangen hat. Nicht notwendig für die Anordnung eines Entzuges ist jedoch, dass ein solches Delikt bereits rechtskräftig beurteilt worden ist (vgl. BGE 105 Ib 20 E. 1b). Wenn die Strafrechtliche Qualifikation einer Handlung oder die Frage des Verschuldens aber unsicher sind, besteht die Gefahr, dass der Strafrichter - wenn er nach Abschluss des Entzugsverfahrens entscheidet - zu anderen Ergebnissen gelangt, als vor ihm die Entzugsbehörde. Ein solcher Ausgang ist im Hinblick auf die Rechtssicherheit unbefriedigend. Es rechtfertigt sich daher, in den genannten Fällen erst über einen Führerausweisentzug zu entscheiden, wenn das Strafverfahren, in dem primär über die Anwendung des Strafrechtes zu entscheiden ist, mit einem rechtskräftigen Urteil seinen Abschluss gefunden hat (vgl. zitierte Kreisschreiben in VPB 39/1975 Nr. 126 S. 66). Aus einer ähnlichen Überlegung hat das Bundesgericht in einer konstanten Rechtsprechung entschieden, dass die Entzugsbehörde von den tatsächlichen Feststellungen eines Strafurteils, das zur Zeit ihres eigenen Entscheides bereits gefällt ist, nur unter bestimmten Voraussetzungen abweichen soll ( BGE 104 Ib 359 f. E. 1, BGE 103 Ib 104 ff. E. 2 mit Hinweisen, BGE 106 Ib 395 S. 399 vgl. auch BGE 105 Ib 19 ). Wenn die rechtliche Würdigung stark von der Würdigung von Tatsachen abhängt, welche der Strafrichter besser kennt, soll sich die Entzugsbehörde nach der Rechtsprechung auch in bezug auf Rechtsfragen nur mit Zurückhaltung vom Standpunkt des Strafrichters entfernen ( BGE 104 Ib 362 ff. E. 3). Der Beschwerdeführer bestreitet im vorliegenden Fall nicht, dass er mit seinem Verhalten die objektiven Tatbestandsmerkmale der Widerhandlung gegen das Betäubungsmittelgesetz erfüllt hat. Er ist aber der Auffassung, dass das Obergericht aufgrund des psychiatrischen Gutachtens den Grad seines Verschuldens geringer beurteilen werde als das Bezirksgericht. Aus diesem Grund beantragt er, das vorliegende Verfahren auszusetzen, bis die Schuldfrage im Strafprozess geklärt ist. Aus den Vorakten, insbesondere aus den polizeilichen Verhörprotokollen ergeben sich, entgegen der Auffassung des Beschwerdeführers, genügend Anhaltspunkte, um dessen Verschulden zu beurteilen. In der Frage des Verschuldens bestehen unter diesen Umständen keine Zweifel, welche ein Aussetzen des Entzugsverfahrens bis zum Vorliegen eines rechtskräftigen Strafurteils verlangen würden. Der Regierungsrat verletzte somit kein Bundesrecht, indem er das Verschulden des Beschwerdeführers ohne Rücksicht auf den Ausgang des Strafverfahrens würdigte. Aus dem gleichen Grund braucht auch das Verfahren vor dem Bundesgericht nicht ausgesetzt zu werden, bis die Ergebnisse des im obergerichtlichen Verfahren beantragten psychiatrischen Gutachtens bekannt sind.</w:t>
      </w:r>
    </w:p>
    <w:p>
      <w:r>
        <w:rPr>
          <w:b/>
        </w:rPr>
        <w:t>E. 3</w:t>
      </w:r>
    </w:p>
    <w:p>
      <w:r>
        <w:t>(Das Bundesgericht stellt fest, dass der Regierungsrat mit der Entzugsdauer von sechs Monaten kein Bundesrecht verletzt hat.) BGE 106 Ib 395 S.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